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bookmarkStart w:id="0" w:name="_GoBack"/>
      <w:bookmarkEnd w:id="0"/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华文新魏"/>
          <w:sz w:val="48"/>
        </w:rPr>
      </w:pPr>
      <w:r>
        <w:rPr>
          <w:rFonts w:eastAsia="华文新魏"/>
          <w:sz w:val="48"/>
        </w:rPr>
        <w:t>山东农业大学</w:t>
      </w:r>
    </w:p>
    <w:p>
      <w:pPr>
        <w:jc w:val="center"/>
        <w:rPr>
          <w:rFonts w:eastAsia="华文新魏"/>
          <w:sz w:val="48"/>
        </w:rPr>
      </w:pPr>
      <w:r>
        <w:rPr>
          <w:rFonts w:hint="eastAsia" w:eastAsia="华文新魏"/>
          <w:sz w:val="48"/>
        </w:rPr>
        <w:t>创新型、专业型</w:t>
      </w:r>
      <w:r>
        <w:rPr>
          <w:rFonts w:eastAsia="华文新魏"/>
          <w:sz w:val="48"/>
        </w:rPr>
        <w:t>本科专业人才培养方案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hint="eastAsia" w:eastAsia="隶书"/>
          <w:sz w:val="52"/>
          <w:lang w:eastAsia="zh-CN"/>
        </w:rPr>
      </w:pPr>
      <w:r>
        <w:rPr>
          <w:rFonts w:hint="eastAsia" w:eastAsia="隶书"/>
          <w:sz w:val="52"/>
          <w:lang w:eastAsia="zh-CN"/>
        </w:rPr>
        <w:t>工商管理</w:t>
      </w:r>
    </w:p>
    <w:p>
      <w:pPr>
        <w:jc w:val="center"/>
        <w:rPr>
          <w:rFonts w:eastAsia="隶书"/>
          <w:b/>
          <w:sz w:val="36"/>
          <w:szCs w:val="40"/>
        </w:rPr>
      </w:pPr>
      <w:r>
        <w:rPr>
          <w:rFonts w:eastAsia="隶书"/>
          <w:b/>
          <w:sz w:val="36"/>
          <w:szCs w:val="40"/>
        </w:rPr>
        <w:t>（</w:t>
      </w:r>
      <w:r>
        <w:rPr>
          <w:rFonts w:hint="eastAsia" w:eastAsia="隶书"/>
          <w:b/>
          <w:sz w:val="36"/>
          <w:szCs w:val="40"/>
          <w:lang w:val="en-US" w:eastAsia="zh-CN"/>
        </w:rPr>
        <w:t>B</w:t>
      </w:r>
      <w:r>
        <w:rPr>
          <w:rFonts w:hint="eastAsia" w:eastAsia="隶书"/>
          <w:b/>
          <w:sz w:val="36"/>
          <w:szCs w:val="40"/>
        </w:rPr>
        <w:t xml:space="preserve">usiness </w:t>
      </w:r>
      <w:r>
        <w:rPr>
          <w:rFonts w:hint="eastAsia" w:eastAsia="隶书"/>
          <w:b/>
          <w:sz w:val="36"/>
          <w:szCs w:val="40"/>
          <w:lang w:val="en-US" w:eastAsia="zh-CN"/>
        </w:rPr>
        <w:t>A</w:t>
      </w:r>
      <w:r>
        <w:rPr>
          <w:rFonts w:hint="eastAsia" w:eastAsia="隶书"/>
          <w:b/>
          <w:sz w:val="36"/>
          <w:szCs w:val="40"/>
        </w:rPr>
        <w:t>dministration</w:t>
      </w:r>
      <w:r>
        <w:rPr>
          <w:rFonts w:eastAsia="隶书"/>
          <w:b/>
          <w:sz w:val="36"/>
          <w:szCs w:val="40"/>
        </w:rPr>
        <w:t>）</w:t>
      </w:r>
    </w:p>
    <w:p>
      <w:pPr>
        <w:jc w:val="center"/>
        <w:rPr>
          <w:rFonts w:eastAsia="隶书"/>
          <w:szCs w:val="28"/>
        </w:rPr>
      </w:pPr>
      <w:r>
        <w:rPr>
          <w:rFonts w:eastAsia="隶书"/>
          <w:szCs w:val="28"/>
        </w:rPr>
        <w:t>（</w:t>
      </w:r>
      <w:r>
        <w:rPr>
          <w:rFonts w:eastAsia="隶书"/>
          <w:sz w:val="24"/>
        </w:rPr>
        <w:t>201</w:t>
      </w:r>
      <w:r>
        <w:rPr>
          <w:rFonts w:hint="eastAsia" w:eastAsia="隶书"/>
          <w:sz w:val="24"/>
          <w:lang w:val="en-US" w:eastAsia="zh-CN"/>
        </w:rPr>
        <w:t>8</w:t>
      </w:r>
      <w:r>
        <w:rPr>
          <w:rFonts w:hint="eastAsia" w:eastAsia="隶书"/>
          <w:szCs w:val="28"/>
        </w:rPr>
        <w:t>版</w:t>
      </w:r>
      <w:r>
        <w:rPr>
          <w:rFonts w:eastAsia="隶书"/>
          <w:szCs w:val="28"/>
        </w:rPr>
        <w:t>）</w:t>
      </w:r>
    </w:p>
    <w:p>
      <w:pPr>
        <w:jc w:val="center"/>
        <w:rPr>
          <w:rFonts w:eastAsia="隶书"/>
          <w:szCs w:val="28"/>
        </w:rPr>
      </w:pPr>
    </w:p>
    <w:p>
      <w:pPr>
        <w:jc w:val="center"/>
        <w:rPr>
          <w:rFonts w:eastAsia="隶书"/>
          <w:szCs w:val="28"/>
        </w:rPr>
      </w:pPr>
    </w:p>
    <w:p>
      <w:pPr>
        <w:jc w:val="center"/>
        <w:rPr>
          <w:rFonts w:eastAsia="隶书"/>
          <w:sz w:val="40"/>
          <w:szCs w:val="40"/>
        </w:rPr>
      </w:pPr>
    </w:p>
    <w:p>
      <w:pPr>
        <w:jc w:val="center"/>
        <w:rPr>
          <w:rFonts w:eastAsia="隶书"/>
          <w:sz w:val="40"/>
          <w:szCs w:val="40"/>
        </w:rPr>
      </w:pPr>
    </w:p>
    <w:p>
      <w:pPr>
        <w:autoSpaceDE w:val="0"/>
        <w:autoSpaceDN w:val="0"/>
        <w:adjustRightInd w:val="0"/>
        <w:ind w:firstLine="425" w:firstLineChars="133"/>
        <w:jc w:val="left"/>
        <w:rPr>
          <w:rFonts w:ascii="仿宋" w:hAnsi="仿宋" w:eastAsia="仿宋" w:cs="FZXBSJW--GB1-0"/>
          <w:kern w:val="0"/>
          <w:sz w:val="32"/>
          <w:szCs w:val="32"/>
        </w:rPr>
      </w:pPr>
      <w:r>
        <w:rPr>
          <w:rFonts w:hint="eastAsia" w:ascii="仿宋" w:hAnsi="仿宋" w:eastAsia="仿宋" w:cs="FZXBSJW--GB1-0"/>
          <w:kern w:val="0"/>
          <w:sz w:val="32"/>
          <w:szCs w:val="32"/>
        </w:rPr>
        <w:t xml:space="preserve">学院（章）：        </w:t>
      </w:r>
    </w:p>
    <w:p>
      <w:pPr>
        <w:autoSpaceDE w:val="0"/>
        <w:autoSpaceDN w:val="0"/>
        <w:adjustRightInd w:val="0"/>
        <w:ind w:firstLine="425" w:firstLineChars="133"/>
        <w:jc w:val="left"/>
        <w:rPr>
          <w:rFonts w:ascii="仿宋" w:hAnsi="仿宋" w:eastAsia="仿宋" w:cs="FZXBSJW--GB1-0"/>
          <w:kern w:val="0"/>
          <w:sz w:val="32"/>
          <w:szCs w:val="32"/>
        </w:rPr>
      </w:pPr>
      <w:r>
        <w:rPr>
          <w:rFonts w:hint="eastAsia" w:ascii="仿宋" w:hAnsi="仿宋" w:eastAsia="仿宋" w:cs="FZXBSJW--GB1-0"/>
          <w:kern w:val="0"/>
          <w:sz w:val="32"/>
          <w:szCs w:val="32"/>
        </w:rPr>
        <w:t xml:space="preserve">教授委员会主任（签字）：        </w:t>
      </w:r>
    </w:p>
    <w:p>
      <w:pPr>
        <w:autoSpaceDE w:val="0"/>
        <w:autoSpaceDN w:val="0"/>
        <w:adjustRightInd w:val="0"/>
        <w:ind w:firstLine="425" w:firstLineChars="133"/>
        <w:jc w:val="left"/>
        <w:rPr>
          <w:rFonts w:ascii="仿宋" w:hAnsi="仿宋" w:eastAsia="仿宋" w:cs="FZXBSJW--GB1-0"/>
          <w:kern w:val="0"/>
          <w:sz w:val="32"/>
          <w:szCs w:val="32"/>
        </w:rPr>
      </w:pPr>
      <w:r>
        <w:rPr>
          <w:rFonts w:hint="eastAsia" w:ascii="仿宋" w:hAnsi="仿宋" w:eastAsia="仿宋" w:cs="FZXBSJW--GB1-0"/>
          <w:kern w:val="0"/>
          <w:sz w:val="32"/>
          <w:szCs w:val="32"/>
        </w:rPr>
        <w:t xml:space="preserve">专业主任（签字）：    </w:t>
      </w:r>
    </w:p>
    <w:p>
      <w:pPr>
        <w:jc w:val="center"/>
        <w:rPr>
          <w:rFonts w:eastAsia="隶书"/>
          <w:sz w:val="54"/>
        </w:rPr>
      </w:pPr>
    </w:p>
    <w:p>
      <w:pPr>
        <w:widowControl/>
        <w:jc w:val="left"/>
        <w:rPr>
          <w:rFonts w:ascii="仿宋" w:hAnsi="仿宋" w:eastAsia="仿宋" w:cs="FZXBSJW--GB1-0"/>
          <w:kern w:val="0"/>
          <w:sz w:val="32"/>
          <w:szCs w:val="32"/>
        </w:rPr>
      </w:pPr>
      <w:r>
        <w:rPr>
          <w:rFonts w:ascii="仿宋" w:hAnsi="仿宋" w:eastAsia="仿宋" w:cs="FZXBSJW--GB1-0"/>
          <w:kern w:val="0"/>
          <w:sz w:val="32"/>
          <w:szCs w:val="32"/>
        </w:rPr>
        <w:br w:type="page"/>
      </w:r>
    </w:p>
    <w:p>
      <w:pPr>
        <w:autoSpaceDE w:val="0"/>
        <w:autoSpaceDN w:val="0"/>
        <w:adjustRightInd w:val="0"/>
        <w:jc w:val="center"/>
        <w:rPr>
          <w:rFonts w:cs="FZXBSJW--GB1-0"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cs="FZXBSJW--GB1-0" w:asciiTheme="majorEastAsia" w:hAnsiTheme="majorEastAsia" w:eastAsiaTheme="majorEastAsia"/>
          <w:b/>
          <w:kern w:val="0"/>
          <w:sz w:val="32"/>
          <w:szCs w:val="32"/>
          <w:lang w:val="en-US" w:eastAsia="zh-CN"/>
        </w:rPr>
        <w:t>工商</w:t>
      </w:r>
      <w:r>
        <w:rPr>
          <w:rFonts w:hint="eastAsia" w:cs="FZXBSJW--GB1-0" w:asciiTheme="majorEastAsia" w:hAnsiTheme="majorEastAsia" w:eastAsiaTheme="majorEastAsia"/>
          <w:b/>
          <w:kern w:val="0"/>
          <w:sz w:val="32"/>
          <w:szCs w:val="32"/>
        </w:rPr>
        <w:t>管理</w:t>
      </w:r>
      <w:r>
        <w:rPr>
          <w:rFonts w:cs="FZXBSJW--GB1-0" w:asciiTheme="majorEastAsia" w:hAnsiTheme="majorEastAsia" w:eastAsiaTheme="majorEastAsia"/>
          <w:b/>
          <w:kern w:val="0"/>
          <w:sz w:val="32"/>
          <w:szCs w:val="32"/>
        </w:rPr>
        <w:t>专业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创新型、专业型</w:t>
      </w:r>
      <w:r>
        <w:rPr>
          <w:rFonts w:cs="FZXBSJW--GB1-0" w:asciiTheme="majorEastAsia" w:hAnsiTheme="majorEastAsia" w:eastAsiaTheme="majorEastAsia"/>
          <w:b/>
          <w:kern w:val="0"/>
          <w:sz w:val="32"/>
          <w:szCs w:val="32"/>
        </w:rPr>
        <w:t>人才培养方案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FZXBSJW--GB1-0"/>
          <w:kern w:val="0"/>
          <w:szCs w:val="28"/>
        </w:rPr>
      </w:pPr>
      <w:r>
        <w:rPr>
          <w:rFonts w:ascii="黑体" w:hAnsi="黑体" w:eastAsia="黑体" w:cs="FZXBSJW--GB1-0"/>
          <w:kern w:val="0"/>
          <w:szCs w:val="28"/>
        </w:rPr>
        <w:t>（专业代码：</w:t>
      </w:r>
      <w:r>
        <w:rPr>
          <w:rFonts w:hint="eastAsia" w:ascii="黑体" w:hAnsi="黑体" w:eastAsia="黑体" w:cs="FZXBSJW--GB1-0"/>
          <w:kern w:val="0"/>
          <w:szCs w:val="28"/>
        </w:rPr>
        <w:t>120201K</w:t>
      </w:r>
      <w:r>
        <w:rPr>
          <w:rFonts w:ascii="黑体" w:hAnsi="黑体" w:eastAsia="黑体" w:cs="FZXBSJW--GB1-0"/>
          <w:kern w:val="0"/>
          <w:szCs w:val="28"/>
        </w:rPr>
        <w:t>）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黑体" w:hAnsi="黑体" w:eastAsia="黑体" w:cs="黑体"/>
          <w:kern w:val="0"/>
          <w:szCs w:val="28"/>
        </w:rPr>
      </w:pPr>
      <w:r>
        <w:rPr>
          <w:rFonts w:hint="eastAsia" w:ascii="黑体" w:hAnsi="黑体" w:eastAsia="黑体" w:cs="黑体"/>
          <w:kern w:val="0"/>
          <w:szCs w:val="28"/>
        </w:rPr>
        <w:t>培养目标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本专业培养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践行社会主义核心价值观，具有社会责任感、公共意识和创新精神，适应国家经济建设需要，具有人文精神与科学素养，掌握现代经济管理理论及管理方法，具有国际视野、本土情怀、创新意识、团队精神和沟通技能，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能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够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在各类工商企业、科研部门、政府部门及相关部门或单位从事管理以及教学、科研方面工作的应用型、复合型和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创新型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高级专门人才。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培养目标可分解为以下4个子目标：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 xml:space="preserve">1. 具备自然科学、经济学和管理学的基础知识以及外语和计算机应用能力； 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2. 具备自主学习能力、创新能力、团队协作能力、组织领导能力和社会责任感；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 xml:space="preserve">3. 熟悉国内工商企业管理的发展现状、趋势，能够运用专业知识和专业方法，分析并解决工商企业经营中的复杂管理问题； 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4. 能在工商企业、科研部门、政府部门及相关部门或单位从事管理以及教学、科研方面工作。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黑体" w:hAnsi="黑体" w:eastAsia="黑体" w:cs="黑体"/>
          <w:kern w:val="0"/>
          <w:szCs w:val="28"/>
        </w:rPr>
      </w:pPr>
      <w:r>
        <w:rPr>
          <w:rFonts w:hint="eastAsia" w:ascii="黑体" w:hAnsi="黑体" w:eastAsia="黑体" w:cs="黑体"/>
          <w:kern w:val="0"/>
          <w:szCs w:val="28"/>
        </w:rPr>
        <w:t>培养要求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本专业学生主要学习管理学、经济学和现代企业管理的基本理论、基本知识和基本技能，受到战略管理、生产与运作管理、人力资源管理、质量管理、营销管理、财务管理和管理信息系统等方面的方法和技能的训练，具有从事企业管理、教学科研、管理咨询等工作的基本能力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毕业生应获取以下几方面的知识和能力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: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 掌握管理学、经济学的基本原理和现代工商企业管理的基本理论、基本知识和基本技能；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2. 掌握现代企业管理的定性和定量分析方法，并能够应用其解决理论与实践问题；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3. 熟悉我国企业管理的有关方针、政策和法规以及国际企业管理的惯例和规则，了解本学科的理论前沿和发展动态；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4. 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能够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应用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现代信息技术，熟练运用计算机、网络及工商管理相关的常用办公、统计、企业信息管理软件管理，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针对企业管理中的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问题提出解决方案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eastAsia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5. 具有较强的组织沟通能力与探索性、批判性思维能力，不断尝试理论或实践创新；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6. 掌握一门外语，具备读、写、听、说的能力，具有较深厚的数学分析和运筹能力，扎实的计算机应用和管理信息系统分析能力；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7. 能够运用科学的方法，通过课堂、文献、网络、实习实践等渠道获取知识；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8. 具备自主学习、终身学习和持续创新的能力。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黑体" w:hAnsi="黑体" w:eastAsia="黑体" w:cs="黑体"/>
          <w:kern w:val="0"/>
          <w:szCs w:val="28"/>
        </w:rPr>
      </w:pPr>
      <w:r>
        <w:rPr>
          <w:rFonts w:hint="eastAsia" w:ascii="黑体" w:hAnsi="黑体" w:eastAsia="黑体" w:cs="黑体"/>
          <w:kern w:val="0"/>
          <w:szCs w:val="28"/>
        </w:rPr>
        <w:t>学制与学位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学制：本科基本学制为4年，学习年限为3-8年。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学位：按要求完成学业且符合学位授予条件者授予管理学学士学位。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Cs w:val="28"/>
        </w:rPr>
        <w:t>课程设置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 xml:space="preserve">主干学科: 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工商管理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，重要支撑学科有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市场营销、人力资源管理、财务管理和经济学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等。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核心课程: 管理学基础、微观经济学、宏观经济学、初级会计学、财务会计、管理运筹学、统计学、企业战略管理、人力资源管理、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运营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管理、市场营销、财务管理学、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公司治理、创业学、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管理信息系统，以及一些核心课程实验等。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黑体" w:hAnsi="黑体" w:eastAsia="黑体" w:cs="黑体"/>
          <w:kern w:val="0"/>
          <w:szCs w:val="28"/>
        </w:rPr>
      </w:pPr>
      <w:r>
        <w:rPr>
          <w:rFonts w:hint="eastAsia" w:ascii="黑体" w:hAnsi="黑体" w:eastAsia="黑体" w:cs="黑体"/>
          <w:kern w:val="0"/>
          <w:szCs w:val="28"/>
        </w:rPr>
        <w:t>主要实践性教学环节（含实验）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专业认知实习、专业综合教学实习、社会实践调查报告、课程论文、创新和创业实践、毕业设计和毕业实习等。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黑体" w:hAnsi="黑体" w:eastAsia="黑体" w:cs="黑体"/>
          <w:kern w:val="0"/>
          <w:szCs w:val="28"/>
        </w:rPr>
      </w:pPr>
      <w:r>
        <w:rPr>
          <w:rFonts w:hint="eastAsia" w:ascii="黑体" w:hAnsi="黑体" w:eastAsia="黑体" w:cs="黑体"/>
          <w:kern w:val="0"/>
          <w:szCs w:val="28"/>
        </w:rPr>
        <w:t>学分分配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毕业总学分不少于170学分。其中，必修课总学分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104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、选修课学分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31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、实践教学学分（含操作性实验课学分和实践学分，其中理论课所含的实验实训学分按所占理论课学时进行换算。）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35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，占总学分</w:t>
      </w: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>20.6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%。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黑体" w:hAnsi="黑体" w:eastAsia="黑体" w:cs="黑体"/>
          <w:kern w:val="0"/>
          <w:szCs w:val="28"/>
        </w:rPr>
      </w:pPr>
      <w:r>
        <w:rPr>
          <w:rFonts w:hint="eastAsia" w:ascii="黑体" w:hAnsi="黑体" w:eastAsia="黑体" w:cs="黑体"/>
          <w:kern w:val="0"/>
          <w:szCs w:val="28"/>
        </w:rPr>
        <w:t>教学进程（附表1-5）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黑体" w:hAnsi="黑体" w:eastAsia="黑体" w:cs="黑体"/>
          <w:kern w:val="0"/>
          <w:szCs w:val="28"/>
        </w:rPr>
      </w:pPr>
      <w:r>
        <w:rPr>
          <w:rFonts w:hint="eastAsia" w:ascii="黑体" w:hAnsi="黑体" w:eastAsia="黑体" w:cs="黑体"/>
          <w:kern w:val="0"/>
          <w:szCs w:val="28"/>
        </w:rPr>
        <w:t>培养方案支撑体系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培养要求对培养目标的支撑体系: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培养要求对培养目标的支撑关系矩阵表</w:t>
      </w:r>
    </w:p>
    <w:tbl>
      <w:tblPr>
        <w:tblStyle w:val="6"/>
        <w:tblW w:w="6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185"/>
        <w:gridCol w:w="1184"/>
        <w:gridCol w:w="1185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0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培养目标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培养要求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要求4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要求5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要求6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要求7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要求8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仿宋" w:hAnsi="仿宋" w:eastAsia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课程体系对培养要求的支撑: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</w:rPr>
        <w:t>课程体系的组成主要由四部分构成，分别是通识教育课、专业教育课、拓展教育课和实践四部分。主要课程对培养要求的支撑体系矩阵如下：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cs="仿宋_GB2312" w:asciiTheme="minorEastAsia" w:hAnsiTheme="minorEastAsia" w:eastAsiaTheme="minorEastAsia"/>
          <w:kern w:val="0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 w:eastAsiaTheme="minorEastAsia"/>
          <w:kern w:val="0"/>
          <w:szCs w:val="28"/>
        </w:rPr>
        <w:t>课程体系对培养要求的支撑关系矩阵</w:t>
      </w:r>
    </w:p>
    <w:tbl>
      <w:tblPr>
        <w:tblStyle w:val="6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942"/>
        <w:gridCol w:w="1031"/>
        <w:gridCol w:w="1030"/>
        <w:gridCol w:w="1031"/>
        <w:gridCol w:w="1031"/>
        <w:gridCol w:w="1031"/>
        <w:gridCol w:w="1022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53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10" w:firstLineChars="100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培养要求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思想道德修养与法律基础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13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13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13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13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13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马克思主义基本原理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中国近现代史纲要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大学英语B1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大学英语B2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大学英语B3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大学英语B4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大学生心理健康教育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形势与政策 1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形势与政策 2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计算机文化基础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计算机文化基础实验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高等数学B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线性代数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概率统计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管理学基础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 xml:space="preserve">H 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政治经济学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微观经济学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企业管理学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宏观经济学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经济法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初级会计学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管理运筹学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统计学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经济管理综合实验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财政学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计量经济学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 xml:space="preserve">   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财务管理学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金融</w:t>
            </w:r>
            <w:r>
              <w:rPr>
                <w:rFonts w:hint="default" w:ascii="宋体" w:hAnsi="宋体"/>
                <w:sz w:val="18"/>
                <w:szCs w:val="18"/>
              </w:rPr>
              <w:t>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市场营销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保险学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经济管理综合实验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管理心理学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人力资源管理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企业战略管理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运营</w:t>
            </w:r>
            <w:r>
              <w:rPr>
                <w:rFonts w:hint="default" w:ascii="宋体" w:hAnsi="宋体"/>
                <w:sz w:val="18"/>
                <w:szCs w:val="18"/>
              </w:rPr>
              <w:t>管理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管理信息系统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73" w:firstLineChars="152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公司治理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73" w:firstLineChars="152"/>
              <w:jc w:val="both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质量管理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物流与供应链管理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创业学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工商管理综合实验1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工商管理综合实验2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管理系统工程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经济管理数据分析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企业伦理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财务会计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市场调查与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/>
                <w:sz w:val="18"/>
                <w:szCs w:val="18"/>
              </w:rPr>
              <w:t>预测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策划学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人因工程学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产业经济学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项目管理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国际企业管理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投资项目评估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工业工程基础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仿宋" w:hAnsi="仿宋" w:eastAsia="仿宋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电子商务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工商管理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学科前沿专题讲座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职业发展与就业创业指导课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军事理论及训练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95" w:firstLineChars="5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劳动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体育健康与标准测试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思政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社会实践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工商管理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专业认识实习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创新创业实践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毕业实习及报告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毕业论文(设计)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H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" w:hAnsi="仿宋" w:eastAsia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" w:hAnsi="仿宋" w:eastAsia="仿宋"/>
                <w:bCs/>
                <w:snapToGrid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ind w:firstLine="420" w:firstLineChars="200"/>
        <w:jc w:val="left"/>
        <w:rPr>
          <w:rFonts w:ascii="仿宋" w:hAnsi="仿宋" w:eastAsia="仿宋" w:cs="黑体"/>
          <w:kern w:val="0"/>
          <w:sz w:val="21"/>
          <w:szCs w:val="21"/>
        </w:rPr>
      </w:pPr>
      <w:r>
        <w:rPr>
          <w:rFonts w:hint="eastAsia" w:ascii="仿宋" w:hAnsi="仿宋" w:eastAsia="仿宋" w:cs="黑体"/>
          <w:kern w:val="0"/>
          <w:sz w:val="21"/>
          <w:szCs w:val="21"/>
        </w:rPr>
        <w:t>注：根据课程对各项培养要求的支撑强度分别用“H（高）、M(中)、L（弱）”表示，支撑强度的含义是：该课程覆盖培养要求的指标点的多寡，H至少覆盖80%，M至少覆盖50%，L至少覆盖30%</w:t>
      </w:r>
      <w:r>
        <w:rPr>
          <w:rFonts w:hint="eastAsia" w:ascii="仿宋" w:hAnsi="仿宋" w:eastAsia="仿宋" w:cs="黑体"/>
          <w:kern w:val="0"/>
          <w:sz w:val="21"/>
          <w:szCs w:val="21"/>
          <w:lang w:eastAsia="zh-CN"/>
        </w:rPr>
        <w:t>。</w:t>
      </w:r>
      <w:r>
        <w:rPr>
          <w:rFonts w:ascii="仿宋" w:hAnsi="仿宋" w:eastAsia="仿宋" w:cs="黑体"/>
          <w:kern w:val="0"/>
          <w:sz w:val="21"/>
          <w:szCs w:val="21"/>
        </w:rPr>
        <w:br w:type="page"/>
      </w:r>
    </w:p>
    <w:p>
      <w:pPr>
        <w:autoSpaceDE w:val="0"/>
        <w:autoSpaceDN w:val="0"/>
        <w:adjustRightInd w:val="0"/>
        <w:jc w:val="center"/>
        <w:rPr>
          <w:sz w:val="18"/>
        </w:rPr>
      </w:pPr>
      <w:r>
        <w:rPr>
          <w:rFonts w:ascii="仿宋" w:hAnsi="仿宋" w:eastAsia="仿宋" w:cs="仿宋_GB2312"/>
          <w:kern w:val="0"/>
          <w:szCs w:val="32"/>
        </w:rPr>
        <w:t xml:space="preserve">附表1   </w:t>
      </w:r>
      <w:r>
        <w:rPr>
          <w:rFonts w:hint="eastAsia" w:ascii="仿宋" w:hAnsi="仿宋" w:eastAsia="仿宋" w:cs="仿宋_GB2312"/>
          <w:kern w:val="0"/>
          <w:szCs w:val="32"/>
          <w:lang w:val="en-US" w:eastAsia="zh-CN"/>
        </w:rPr>
        <w:t>工商</w:t>
      </w:r>
      <w:r>
        <w:rPr>
          <w:rFonts w:hint="eastAsia" w:ascii="仿宋" w:hAnsi="仿宋" w:eastAsia="仿宋" w:cs="仿宋_GB2312"/>
          <w:kern w:val="0"/>
          <w:szCs w:val="32"/>
        </w:rPr>
        <w:t>管理专业创新型、专业型人才培养</w:t>
      </w:r>
      <w:r>
        <w:rPr>
          <w:rFonts w:ascii="仿宋" w:hAnsi="仿宋" w:eastAsia="仿宋" w:cs="仿宋_GB2312"/>
          <w:kern w:val="0"/>
          <w:szCs w:val="32"/>
        </w:rPr>
        <w:t>通识教育课教学进程表</w:t>
      </w:r>
    </w:p>
    <w:tbl>
      <w:tblPr>
        <w:tblStyle w:val="6"/>
        <w:tblW w:w="94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2" w:type="dxa"/>
            <w:vMerge w:val="restart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通识必修</w:t>
            </w:r>
            <w:r>
              <w:rPr>
                <w:rFonts w:hint="eastAsia"/>
                <w:bCs/>
                <w:snapToGrid w:val="0"/>
                <w:sz w:val="18"/>
                <w:szCs w:val="18"/>
              </w:rPr>
              <w:t>课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思想道德修养与法律基础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Moral Cultivation and Basics of Law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马克思主义基本原理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Basic Tenets of Marxism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中国近现代史纲要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Compendium of China’s Recent and Modern History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毛泽东思想和中国特色社会主义理论体系概论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64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64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形势与政策 1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Situation and Policy 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形势与政策 2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Situation and Policy 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大学英语B1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College English B1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外语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大学英语B2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College English B2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外语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大学英语B3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College English B3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外语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大学英语B4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College English B4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外语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大学计算机基础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University Computer Foundation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大学计算机基础实验 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Experiments of University Computer Foundation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普通体育课1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General P.E.1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普通体育课2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General P.E.2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通识选修课</w:t>
            </w:r>
          </w:p>
        </w:tc>
        <w:tc>
          <w:tcPr>
            <w:tcW w:w="4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每名学生至少获得计算机模块课程4学分</w:t>
            </w:r>
          </w:p>
        </w:tc>
        <w:tc>
          <w:tcPr>
            <w:tcW w:w="602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每名学生至少获得体育模块课程2学分</w:t>
            </w:r>
          </w:p>
        </w:tc>
        <w:tc>
          <w:tcPr>
            <w:tcW w:w="60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每名学生至少获得创新创业模块课程2学分</w:t>
            </w:r>
          </w:p>
        </w:tc>
        <w:tc>
          <w:tcPr>
            <w:tcW w:w="60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每名学生至少获得心理健康教育模块课程2学分</w:t>
            </w:r>
          </w:p>
        </w:tc>
        <w:tc>
          <w:tcPr>
            <w:tcW w:w="60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每名学生至少获得艺术审美模块课程2学分</w:t>
            </w:r>
          </w:p>
        </w:tc>
        <w:tc>
          <w:tcPr>
            <w:tcW w:w="60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非人文社科类学生至少获得人文社科类模块课程2学分</w:t>
            </w:r>
          </w:p>
        </w:tc>
        <w:tc>
          <w:tcPr>
            <w:tcW w:w="60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人文社科类学生至少获得自然科学模块课程2学分</w:t>
            </w:r>
          </w:p>
        </w:tc>
        <w:tc>
          <w:tcPr>
            <w:tcW w:w="60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>
      <w:pPr>
        <w:widowControl/>
        <w:jc w:val="left"/>
        <w:rPr>
          <w:sz w:val="18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Cs w:val="32"/>
        </w:rPr>
      </w:pPr>
      <w:r>
        <w:rPr>
          <w:rFonts w:ascii="仿宋" w:hAnsi="仿宋" w:eastAsia="仿宋" w:cs="仿宋_GB2312"/>
          <w:kern w:val="0"/>
          <w:szCs w:val="32"/>
        </w:rPr>
        <w:t xml:space="preserve">附表2  </w:t>
      </w:r>
      <w:r>
        <w:rPr>
          <w:rFonts w:hint="eastAsia" w:ascii="仿宋" w:hAnsi="仿宋" w:eastAsia="仿宋" w:cs="仿宋_GB2312"/>
          <w:kern w:val="0"/>
          <w:szCs w:val="32"/>
          <w:lang w:val="en-US" w:eastAsia="zh-CN"/>
        </w:rPr>
        <w:t>工商</w:t>
      </w:r>
      <w:r>
        <w:rPr>
          <w:rFonts w:hint="eastAsia" w:ascii="仿宋" w:hAnsi="仿宋" w:eastAsia="仿宋" w:cs="仿宋_GB2312"/>
          <w:kern w:val="0"/>
          <w:szCs w:val="32"/>
        </w:rPr>
        <w:t>管理专业创新型、专业型人才培养专业教育</w:t>
      </w:r>
      <w:r>
        <w:rPr>
          <w:rFonts w:ascii="仿宋" w:hAnsi="仿宋" w:eastAsia="仿宋" w:cs="仿宋_GB2312"/>
          <w:kern w:val="0"/>
          <w:szCs w:val="32"/>
        </w:rPr>
        <w:t>课教学进程表</w:t>
      </w:r>
    </w:p>
    <w:tbl>
      <w:tblPr>
        <w:tblStyle w:val="6"/>
        <w:tblW w:w="95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246"/>
        <w:gridCol w:w="3808"/>
        <w:gridCol w:w="629"/>
        <w:gridCol w:w="644"/>
        <w:gridCol w:w="630"/>
        <w:gridCol w:w="630"/>
        <w:gridCol w:w="658"/>
        <w:gridCol w:w="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别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808" w:type="dxa"/>
            <w:vMerge w:val="restart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8" w:type="dxa"/>
            <w:vMerge w:val="continue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630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658" w:type="dxa"/>
            <w:vMerge w:val="continue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40" w:leftChars="-50" w:right="-140" w:rightChars="-5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学</w:t>
            </w:r>
          </w:p>
          <w:p>
            <w:pPr>
              <w:adjustRightInd w:val="0"/>
              <w:snapToGrid w:val="0"/>
              <w:ind w:left="-140" w:leftChars="-50" w:right="-140" w:rightChars="-5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科</w:t>
            </w:r>
          </w:p>
          <w:p>
            <w:pPr>
              <w:adjustRightInd w:val="0"/>
              <w:snapToGrid w:val="0"/>
              <w:ind w:left="-140" w:leftChars="-50" w:right="-140" w:rightChars="-5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基</w:t>
            </w:r>
          </w:p>
          <w:p>
            <w:pPr>
              <w:adjustRightInd w:val="0"/>
              <w:snapToGrid w:val="0"/>
              <w:ind w:left="-140" w:leftChars="-50" w:right="-140" w:rightChars="-5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础</w:t>
            </w:r>
          </w:p>
          <w:p>
            <w:pPr>
              <w:adjustRightInd w:val="0"/>
              <w:snapToGrid w:val="0"/>
              <w:ind w:left="-140" w:leftChars="-50" w:right="-140" w:rightChars="-5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高等数学B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Advanced Mathematics B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线性代数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Linear Algebra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概率统计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管理学基础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Basics of Management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政治经济学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Political Economics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微观经济学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Microeconomics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企业管理学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Science of Enterprise Management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宏观经济学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Macroeconomics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经济法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Economic Law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初级会计学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Introduction to Accounting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管理运筹学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Operational Research in Administration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统计学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Statistics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财务管理学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Financial Management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经济管理综合实验1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Comprehensive Experiments of Economic Management 1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计量经济学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Econometrics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财政学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Fiscal Finance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金融学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Finance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市场营销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Marketing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保险学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Insurance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95" w:firstLineChars="5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经济管理综合实验2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Comprehensive Experiments of Economic Management 2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010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业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核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课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管理心理学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Management Psychology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人力资源管理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Human Resource Management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企业战略管理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Enterprise Strategic Management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运营</w:t>
            </w:r>
            <w:r>
              <w:rPr>
                <w:rFonts w:hint="default"/>
                <w:bCs/>
                <w:sz w:val="18"/>
                <w:szCs w:val="18"/>
              </w:rPr>
              <w:t>管理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Operation Management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管理信息系统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Management Information Systems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公司治理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Company's Government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质量管理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Quality Management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7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物流与供应链管理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Logistics and Supply Chain Management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创业学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Entrepreneurship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工商管理综合实验</w:t>
            </w:r>
            <w:r>
              <w:rPr>
                <w:rFonts w:hint="eastAsia"/>
                <w:bCs/>
                <w:sz w:val="18"/>
                <w:szCs w:val="18"/>
              </w:rPr>
              <w:t>（含创新创业教育）</w:t>
            </w:r>
            <w:r>
              <w:rPr>
                <w:rFonts w:hint="default"/>
                <w:bCs/>
                <w:sz w:val="18"/>
                <w:szCs w:val="18"/>
              </w:rPr>
              <w:t>1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Comprehensive Experiments of Business Administration 1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  <w:lang w:eastAsia="zh-CN"/>
              </w:rPr>
            </w:pPr>
            <w:r>
              <w:rPr>
                <w:rFonts w:hint="default"/>
                <w:bCs/>
                <w:sz w:val="18"/>
                <w:szCs w:val="18"/>
              </w:rPr>
              <w:t>1.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工商管理综合实验</w:t>
            </w:r>
            <w:r>
              <w:rPr>
                <w:rFonts w:hint="eastAsia"/>
                <w:bCs/>
                <w:sz w:val="18"/>
                <w:szCs w:val="18"/>
              </w:rPr>
              <w:t>（含创新创业教育）</w:t>
            </w:r>
            <w:r>
              <w:rPr>
                <w:rFonts w:hint="default"/>
                <w:bCs/>
                <w:sz w:val="18"/>
                <w:szCs w:val="18"/>
              </w:rPr>
              <w:t>2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Comprehensive Experiments of Business Administration 2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  <w:lang w:eastAsia="zh-CN"/>
              </w:rPr>
            </w:pPr>
            <w:r>
              <w:rPr>
                <w:rFonts w:hint="default"/>
                <w:bCs/>
                <w:sz w:val="18"/>
                <w:szCs w:val="18"/>
              </w:rPr>
              <w:t>1.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658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7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05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010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57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010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79</w:t>
            </w:r>
          </w:p>
        </w:tc>
      </w:tr>
    </w:tbl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hint="eastAsia" w:ascii="宋体" w:hAnsi="宋体"/>
          <w:sz w:val="18"/>
          <w:szCs w:val="18"/>
        </w:rPr>
      </w:pPr>
    </w:p>
    <w:p>
      <w:pPr>
        <w:spacing w:line="240" w:lineRule="exact"/>
        <w:rPr>
          <w:rFonts w:ascii="宋体" w:hAnsi="宋体"/>
          <w:sz w:val="18"/>
          <w:szCs w:val="18"/>
        </w:rPr>
      </w:pPr>
    </w:p>
    <w:p>
      <w:pPr>
        <w:adjustRightInd w:val="0"/>
        <w:jc w:val="center"/>
        <w:rPr>
          <w:rFonts w:hint="eastAsia" w:ascii="仿宋" w:hAnsi="仿宋" w:eastAsia="仿宋" w:cs="仿宋_GB2312"/>
          <w:kern w:val="0"/>
          <w:szCs w:val="32"/>
        </w:rPr>
      </w:pPr>
      <w:r>
        <w:rPr>
          <w:rFonts w:ascii="仿宋" w:hAnsi="仿宋" w:eastAsia="仿宋" w:cs="仿宋_GB2312"/>
          <w:kern w:val="0"/>
          <w:szCs w:val="32"/>
        </w:rPr>
        <w:t>附表</w:t>
      </w:r>
      <w:r>
        <w:rPr>
          <w:rFonts w:hint="eastAsia" w:ascii="仿宋" w:hAnsi="仿宋" w:eastAsia="仿宋" w:cs="仿宋_GB2312"/>
          <w:kern w:val="0"/>
          <w:szCs w:val="32"/>
        </w:rPr>
        <w:t>3</w:t>
      </w:r>
      <w:r>
        <w:rPr>
          <w:rFonts w:ascii="仿宋" w:hAnsi="仿宋" w:eastAsia="仿宋" w:cs="仿宋_GB2312"/>
          <w:kern w:val="0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Cs w:val="32"/>
          <w:lang w:val="en-US" w:eastAsia="zh-CN"/>
        </w:rPr>
        <w:t>工商</w:t>
      </w:r>
      <w:r>
        <w:rPr>
          <w:rFonts w:hint="eastAsia" w:ascii="仿宋" w:hAnsi="仿宋" w:eastAsia="仿宋" w:cs="仿宋_GB2312"/>
          <w:kern w:val="0"/>
          <w:szCs w:val="32"/>
        </w:rPr>
        <w:t>管理专业创新型、专业型人才培养拓展教育</w:t>
      </w:r>
      <w:r>
        <w:rPr>
          <w:rFonts w:ascii="仿宋" w:hAnsi="仿宋" w:eastAsia="仿宋" w:cs="仿宋_GB2312"/>
          <w:kern w:val="0"/>
          <w:szCs w:val="32"/>
        </w:rPr>
        <w:t>课教学进程表</w:t>
      </w:r>
    </w:p>
    <w:tbl>
      <w:tblPr>
        <w:tblStyle w:val="6"/>
        <w:tblpPr w:leftFromText="180" w:rightFromText="180" w:vertAnchor="text" w:horzAnchor="margin" w:tblpXSpec="center" w:tblpY="214"/>
        <w:tblW w:w="94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41"/>
        <w:gridCol w:w="3420"/>
        <w:gridCol w:w="48"/>
        <w:gridCol w:w="468"/>
        <w:gridCol w:w="435"/>
        <w:gridCol w:w="435"/>
        <w:gridCol w:w="436"/>
        <w:gridCol w:w="1"/>
        <w:gridCol w:w="613"/>
        <w:gridCol w:w="1"/>
        <w:gridCol w:w="807"/>
        <w:gridCol w:w="1"/>
        <w:gridCol w:w="16"/>
        <w:gridCol w:w="616"/>
        <w:gridCol w:w="1"/>
        <w:gridCol w:w="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ind w:left="-140" w:lef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694" w:type="dxa"/>
            <w:tcBorders>
              <w:lef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ind w:left="-140" w:lef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 w:val="continue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35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36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专业方向课</w:t>
            </w:r>
          </w:p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管理系统工程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Management System Engineering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eastAsia" w:ascii="宋体" w:hAnsi="宋体" w:eastAsia="宋体"/>
                <w:bCs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eastAsia" w:ascii="宋体" w:hAnsi="宋体" w:eastAsia="宋体"/>
                <w:bCs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创新型</w:t>
            </w:r>
          </w:p>
        </w:tc>
        <w:tc>
          <w:tcPr>
            <w:tcW w:w="6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8" w:leftChars="-3" w:right="-45" w:rightChars="-16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每名学生可根据个人发展方向，至少选修15学分。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经济管理数据分析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Data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/>
                <w:bCs/>
                <w:sz w:val="18"/>
                <w:szCs w:val="18"/>
              </w:rPr>
              <w:t>Analysis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/>
                <w:bCs/>
                <w:sz w:val="18"/>
                <w:szCs w:val="18"/>
              </w:rPr>
              <w:t>of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/>
                <w:bCs/>
                <w:sz w:val="18"/>
                <w:szCs w:val="18"/>
              </w:rPr>
              <w:t>Economic Management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7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创新型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企业伦理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Business Ethics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both"/>
              <w:rPr>
                <w:rFonts w:hint="eastAsia" w:ascii="宋体" w:hAnsi="宋体" w:eastAsia="宋体"/>
                <w:bCs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eastAsia" w:ascii="宋体" w:hAnsi="宋体" w:eastAsia="宋体"/>
                <w:bCs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eastAsia" w:ascii="宋体" w:hAnsi="宋体" w:eastAsia="宋体"/>
                <w:bCs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6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专业型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财务会计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Financial Accounting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48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专业型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市场调查与预测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 xml:space="preserve">Marketing Research and Forecast 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创新型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专业型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策划学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Masterminding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创新型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人因工程学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Human Factors Engineering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174"/>
              </w:tabs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专业型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产业经济学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Industrial Economics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6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创新型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项目管理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 xml:space="preserve">Project Management 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6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专业型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国际企业管理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 xml:space="preserve">International   </w:t>
            </w:r>
            <w:r>
              <w:rPr>
                <w:rFonts w:hint="default"/>
                <w:bCs/>
                <w:sz w:val="18"/>
                <w:szCs w:val="18"/>
              </w:rPr>
              <w:t>Enterprise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Management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both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7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创新型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投资项目评估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 xml:space="preserve">Investment Project 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 xml:space="preserve">Evaluation 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专业型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工业工程基础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Fundament</w:t>
            </w:r>
            <w:r>
              <w:rPr>
                <w:rFonts w:hint="eastAsia"/>
                <w:bCs/>
                <w:sz w:val="18"/>
                <w:szCs w:val="18"/>
              </w:rPr>
              <w:t>als</w:t>
            </w:r>
            <w:r>
              <w:rPr>
                <w:rFonts w:hint="default"/>
                <w:bCs/>
                <w:sz w:val="18"/>
                <w:szCs w:val="18"/>
              </w:rPr>
              <w:t xml:space="preserve"> of Industrial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Engineering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pacing w:val="-8"/>
                <w:position w:val="-8"/>
                <w:sz w:val="18"/>
                <w:szCs w:val="18"/>
                <w:lang w:val="en-US" w:eastAsia="zh-CN"/>
              </w:rPr>
              <w:t>5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创新型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8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电子商务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Electronic Commerce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95" w:firstLineChars="53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jc w:val="center"/>
              <w:rPr>
                <w:rFonts w:ascii="宋体" w:hAnsi="宋体"/>
                <w:bCs/>
                <w:snapToGrid w:val="0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6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专业型</w:t>
            </w:r>
          </w:p>
        </w:tc>
        <w:tc>
          <w:tcPr>
            <w:tcW w:w="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right="0" w:rightChars="0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经管</w:t>
            </w:r>
          </w:p>
        </w:tc>
        <w:tc>
          <w:tcPr>
            <w:tcW w:w="6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6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420" w:type="dxa"/>
            <w:tcBorders>
              <w:left w:val="single" w:color="auto" w:sz="4" w:space="0"/>
            </w:tcBorders>
            <w:vAlign w:val="center"/>
          </w:tcPr>
          <w:p>
            <w:pPr>
              <w:ind w:left="-140" w:lef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35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35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36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14" w:type="dxa"/>
            <w:gridSpan w:val="2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328" w:type="dxa"/>
            <w:gridSpan w:val="5"/>
            <w:vAlign w:val="center"/>
          </w:tcPr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>
            <w:pPr>
              <w:ind w:left="-140" w:leftChars="-50"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7" w:type="dxa"/>
            <w:vMerge w:val="restart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专业拓展课</w:t>
            </w:r>
          </w:p>
        </w:tc>
        <w:tc>
          <w:tcPr>
            <w:tcW w:w="64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工商</w:t>
            </w:r>
            <w:r>
              <w:rPr>
                <w:rFonts w:hint="eastAsia"/>
                <w:bCs/>
                <w:sz w:val="18"/>
                <w:szCs w:val="18"/>
              </w:rPr>
              <w:t>管理学科前沿专题讲座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 xml:space="preserve">Business </w:t>
            </w:r>
            <w:r>
              <w:rPr>
                <w:rFonts w:hint="eastAsia"/>
                <w:bCs/>
                <w:sz w:val="18"/>
                <w:szCs w:val="18"/>
              </w:rPr>
              <w:t>Administration Professional Lecture on Research Frontier</w:t>
            </w:r>
          </w:p>
        </w:tc>
        <w:tc>
          <w:tcPr>
            <w:tcW w:w="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3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8" w:type="dxa"/>
            <w:gridSpan w:val="5"/>
            <w:vMerge w:val="restart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每名学生必修</w:t>
            </w:r>
          </w:p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3.5学分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职业发展与就业创业指导课</w:t>
            </w:r>
          </w:p>
          <w:p>
            <w:pPr>
              <w:spacing w:line="24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Career Development and Employment and Career Guidance Section </w:t>
            </w:r>
          </w:p>
        </w:tc>
        <w:tc>
          <w:tcPr>
            <w:tcW w:w="51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32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32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7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140" w:leftChars="-50" w:right="-140" w:rightChars="-5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2"/>
              <w:keepNext/>
              <w:spacing w:line="240" w:lineRule="exact"/>
              <w:ind w:left="-8" w:leftChars="-3" w:right="-45" w:rightChars="-16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每名学生至少获得交叉课模块课程2学分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92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合计学分</w:t>
            </w:r>
          </w:p>
        </w:tc>
        <w:tc>
          <w:tcPr>
            <w:tcW w:w="4524" w:type="dxa"/>
            <w:gridSpan w:val="1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20.5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Cs w:val="32"/>
        </w:rPr>
      </w:pPr>
    </w:p>
    <w:p>
      <w:pPr>
        <w:autoSpaceDE w:val="0"/>
        <w:autoSpaceDN w:val="0"/>
        <w:adjustRightInd w:val="0"/>
        <w:ind w:firstLine="280" w:firstLineChars="100"/>
        <w:rPr>
          <w:rFonts w:ascii="仿宋" w:hAnsi="仿宋" w:eastAsia="仿宋" w:cs="仿宋_GB2312"/>
          <w:kern w:val="0"/>
          <w:szCs w:val="32"/>
        </w:rPr>
      </w:pPr>
    </w:p>
    <w:p>
      <w:pPr>
        <w:autoSpaceDE w:val="0"/>
        <w:autoSpaceDN w:val="0"/>
        <w:adjustRightInd w:val="0"/>
        <w:ind w:firstLine="280" w:firstLineChars="100"/>
        <w:rPr>
          <w:rFonts w:ascii="仿宋" w:hAnsi="仿宋" w:eastAsia="仿宋" w:cs="仿宋_GB2312"/>
          <w:kern w:val="0"/>
          <w:szCs w:val="32"/>
        </w:rPr>
      </w:pPr>
      <w:r>
        <w:rPr>
          <w:rFonts w:ascii="仿宋" w:hAnsi="仿宋" w:eastAsia="仿宋" w:cs="仿宋_GB2312"/>
          <w:kern w:val="0"/>
          <w:szCs w:val="32"/>
        </w:rPr>
        <w:t>附表</w:t>
      </w:r>
      <w:r>
        <w:rPr>
          <w:rFonts w:hint="eastAsia" w:ascii="仿宋" w:hAnsi="仿宋" w:eastAsia="仿宋" w:cs="仿宋_GB2312"/>
          <w:kern w:val="0"/>
          <w:szCs w:val="32"/>
        </w:rPr>
        <w:t>4</w:t>
      </w:r>
      <w:r>
        <w:rPr>
          <w:rFonts w:ascii="仿宋" w:hAnsi="仿宋" w:eastAsia="仿宋" w:cs="仿宋_GB2312"/>
          <w:kern w:val="0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Cs w:val="32"/>
          <w:lang w:val="en-US" w:eastAsia="zh-CN"/>
        </w:rPr>
        <w:t>工商</w:t>
      </w:r>
      <w:r>
        <w:rPr>
          <w:rFonts w:hint="eastAsia" w:ascii="仿宋" w:hAnsi="仿宋" w:eastAsia="仿宋" w:cs="仿宋_GB2312"/>
          <w:kern w:val="0"/>
          <w:szCs w:val="32"/>
        </w:rPr>
        <w:t>管理专业创新型、专业型人才培养</w:t>
      </w:r>
      <w:r>
        <w:rPr>
          <w:rFonts w:ascii="仿宋" w:hAnsi="仿宋" w:eastAsia="仿宋" w:cs="仿宋_GB2312"/>
          <w:kern w:val="0"/>
          <w:szCs w:val="32"/>
        </w:rPr>
        <w:t>实践教学计划进程表</w:t>
      </w:r>
    </w:p>
    <w:tbl>
      <w:tblPr>
        <w:tblStyle w:val="6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331"/>
        <w:gridCol w:w="2931"/>
        <w:gridCol w:w="992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tblHeader/>
          <w:jc w:val="center"/>
        </w:trPr>
        <w:tc>
          <w:tcPr>
            <w:tcW w:w="563" w:type="dxa"/>
            <w:vAlign w:val="center"/>
          </w:tcPr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代  码</w:t>
            </w:r>
          </w:p>
        </w:tc>
        <w:tc>
          <w:tcPr>
            <w:tcW w:w="2931" w:type="dxa"/>
            <w:vAlign w:val="center"/>
          </w:tcPr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92" w:type="dxa"/>
            <w:vAlign w:val="center"/>
          </w:tcPr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开设</w:t>
            </w:r>
          </w:p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51" w:type="dxa"/>
            <w:vAlign w:val="center"/>
          </w:tcPr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>
            <w:pPr>
              <w:ind w:right="-140" w:rightChars="-5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础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军事理论及训练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Military Theory and Training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劳动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Field Work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体育健康与标准测试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思政社会实践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Special Practice and Survey Reports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马列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社会实践与调查报告1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Social Practice and Survey Report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3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社会实践与调查报告2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Social Practice and Survey Report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业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工商管理</w:t>
            </w:r>
            <w:r>
              <w:rPr>
                <w:rFonts w:hint="default"/>
                <w:bCs/>
                <w:sz w:val="18"/>
                <w:szCs w:val="18"/>
              </w:rPr>
              <w:t>专业认识实习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 xml:space="preserve">Field Practice on 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Business Administration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工商管理综合教学实习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Comprehensive Teaching Practice on Business Management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运营管理</w:t>
            </w:r>
            <w:r>
              <w:rPr>
                <w:rFonts w:hint="default"/>
                <w:bCs/>
                <w:sz w:val="18"/>
                <w:szCs w:val="18"/>
              </w:rPr>
              <w:t>课程论文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Course Essay for Operation Management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40" w:leftChars="-50" w:right="-140" w:rightChars="-5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物流与供应链管理</w:t>
            </w:r>
            <w:r>
              <w:rPr>
                <w:rFonts w:hint="default"/>
                <w:bCs/>
                <w:sz w:val="18"/>
                <w:szCs w:val="18"/>
              </w:rPr>
              <w:t>课程论文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Course Essay for Logistics and Supply Chain Management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综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合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firstLine="95" w:firstLineChars="5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95" w:firstLineChars="5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95" w:firstLineChars="53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Graduation Practice and Report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毕业论文(设计)</w:t>
            </w:r>
          </w:p>
          <w:p>
            <w:pPr>
              <w:spacing w:line="240" w:lineRule="exac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default"/>
                <w:bCs/>
                <w:sz w:val="18"/>
                <w:szCs w:val="18"/>
              </w:rPr>
              <w:t>B.A. Thesis Writing (Design)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84" w:leftChars="30" w:right="84" w:rightChars="3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84" w:leftChars="30" w:right="84" w:rightChars="3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ind w:left="84" w:leftChars="30" w:right="84" w:rightChars="3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48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ind w:left="-140" w:leftChars="-50" w:right="-140" w:rightChars="-5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28.5</w:t>
            </w:r>
          </w:p>
        </w:tc>
      </w:tr>
    </w:tbl>
    <w:p>
      <w:pPr>
        <w:spacing w:line="240" w:lineRule="exact"/>
        <w:ind w:firstLine="95" w:firstLineChars="53"/>
        <w:rPr>
          <w:rFonts w:ascii="宋体" w:hAnsi="宋体"/>
          <w:bCs/>
          <w:sz w:val="18"/>
          <w:szCs w:val="18"/>
        </w:rPr>
      </w:pPr>
    </w:p>
    <w:p>
      <w:pPr>
        <w:widowControl/>
        <w:jc w:val="left"/>
        <w:rPr>
          <w:sz w:val="18"/>
        </w:rPr>
        <w:sectPr>
          <w:pgSz w:w="11906" w:h="16838"/>
          <w:pgMar w:top="1701" w:right="1531" w:bottom="1134" w:left="1531" w:header="851" w:footer="992" w:gutter="0"/>
          <w:cols w:space="425" w:num="1"/>
          <w:docGrid w:type="lines" w:linePitch="381" w:charSpace="0"/>
        </w:sectPr>
      </w:pPr>
    </w:p>
    <w:p>
      <w:pPr>
        <w:autoSpaceDE w:val="0"/>
        <w:autoSpaceDN w:val="0"/>
        <w:adjustRightInd w:val="0"/>
        <w:spacing w:after="190" w:afterLines="5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附表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5                  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工商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专业创新型、专业型人才培养实践</w:t>
      </w:r>
      <w:r>
        <w:rPr>
          <w:rFonts w:ascii="仿宋" w:hAnsi="仿宋" w:eastAsia="仿宋" w:cs="仿宋_GB2312"/>
          <w:kern w:val="0"/>
          <w:sz w:val="32"/>
          <w:szCs w:val="32"/>
        </w:rPr>
        <w:t>教学活动时间分配表</w:t>
      </w:r>
    </w:p>
    <w:tbl>
      <w:tblPr>
        <w:tblStyle w:val="6"/>
        <w:tblW w:w="14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9"/>
        <w:gridCol w:w="1188"/>
        <w:gridCol w:w="444"/>
        <w:gridCol w:w="445"/>
        <w:gridCol w:w="444"/>
        <w:gridCol w:w="445"/>
        <w:gridCol w:w="444"/>
        <w:gridCol w:w="444"/>
        <w:gridCol w:w="445"/>
        <w:gridCol w:w="444"/>
        <w:gridCol w:w="444"/>
        <w:gridCol w:w="444"/>
        <w:gridCol w:w="445"/>
        <w:gridCol w:w="445"/>
        <w:gridCol w:w="444"/>
        <w:gridCol w:w="445"/>
        <w:gridCol w:w="444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5"/>
        <w:gridCol w:w="444"/>
        <w:gridCol w:w="444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617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周 次</w:t>
            </w:r>
          </w:p>
          <w:p>
            <w:pPr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学 年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一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第1学期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☆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△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第2学期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第3学期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第4学期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第5学期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第6学期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⊙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⊙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四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第7学期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第8学期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‖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‖</w:t>
            </w: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before="60" w:line="240" w:lineRule="exact"/>
        <w:ind w:left="1350" w:hanging="1350" w:hangingChars="75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说明：1、符号：□上课  </w:t>
      </w:r>
      <w:r>
        <w:rPr>
          <w:rFonts w:hint="eastAsia" w:ascii="宋体" w:hAnsi="宋体" w:cs="宋体"/>
          <w:sz w:val="18"/>
          <w:szCs w:val="18"/>
        </w:rPr>
        <w:t>☆</w:t>
      </w:r>
      <w:r>
        <w:rPr>
          <w:rFonts w:eastAsia="黑体"/>
          <w:sz w:val="18"/>
          <w:szCs w:val="18"/>
        </w:rPr>
        <w:t xml:space="preserve">军事理论及训练  </w:t>
      </w:r>
      <w:r>
        <w:rPr>
          <w:rFonts w:ascii="Cambria Math" w:hAnsi="Cambria Math" w:eastAsia="黑体" w:cs="Cambria Math"/>
          <w:sz w:val="18"/>
          <w:szCs w:val="18"/>
        </w:rPr>
        <w:t>△</w:t>
      </w:r>
      <w:r>
        <w:rPr>
          <w:rFonts w:eastAsia="黑体"/>
          <w:sz w:val="18"/>
          <w:szCs w:val="18"/>
        </w:rPr>
        <w:t xml:space="preserve">专业劳动  ×生产劳动  </w:t>
      </w:r>
      <w:r>
        <w:rPr>
          <w:rFonts w:ascii="Arial" w:hAnsi="Arial" w:eastAsia="黑体" w:cs="Arial"/>
          <w:sz w:val="18"/>
          <w:szCs w:val="18"/>
        </w:rPr>
        <w:t>▲</w:t>
      </w:r>
      <w:r>
        <w:rPr>
          <w:rFonts w:eastAsia="黑体"/>
          <w:sz w:val="18"/>
          <w:szCs w:val="18"/>
        </w:rPr>
        <w:t xml:space="preserve">分散进行的园场实习、农事劳动、专业劳动等  </w:t>
      </w:r>
      <w:r>
        <w:rPr>
          <w:rFonts w:hint="eastAsia" w:ascii="宋体" w:hAnsi="宋体" w:cs="宋体"/>
          <w:sz w:val="18"/>
          <w:szCs w:val="18"/>
        </w:rPr>
        <w:t>⊙</w:t>
      </w:r>
      <w:r>
        <w:rPr>
          <w:rFonts w:eastAsia="黑体"/>
          <w:sz w:val="18"/>
          <w:szCs w:val="18"/>
        </w:rPr>
        <w:t xml:space="preserve">教学实习  </w:t>
      </w:r>
      <w:r>
        <w:rPr>
          <w:rFonts w:hint="eastAsia" w:ascii="宋体" w:hAnsi="宋体" w:cs="宋体"/>
          <w:sz w:val="18"/>
          <w:szCs w:val="18"/>
        </w:rPr>
        <w:t>※</w:t>
      </w:r>
      <w:r>
        <w:rPr>
          <w:rFonts w:eastAsia="黑体"/>
          <w:sz w:val="18"/>
          <w:szCs w:val="18"/>
        </w:rPr>
        <w:t xml:space="preserve">课程设计  ：考试  ∞毕业（生产）实习   </w:t>
      </w:r>
      <w:r>
        <w:rPr>
          <w:rFonts w:hint="eastAsia" w:ascii="宋体" w:hAnsi="宋体" w:cs="宋体"/>
          <w:sz w:val="18"/>
          <w:szCs w:val="18"/>
        </w:rPr>
        <w:t>◆</w:t>
      </w:r>
      <w:r>
        <w:rPr>
          <w:rFonts w:eastAsia="黑体"/>
          <w:sz w:val="18"/>
          <w:szCs w:val="18"/>
        </w:rPr>
        <w:t>毕业设计  ‖毕业(生产)实习总结、论文答辩  #假期    /为分割符，如“</w:t>
      </w:r>
      <w:r>
        <w:rPr>
          <w:rFonts w:hint="eastAsia" w:ascii="宋体" w:hAnsi="宋体" w:cs="宋体"/>
          <w:sz w:val="18"/>
          <w:szCs w:val="18"/>
        </w:rPr>
        <w:t>⊙</w:t>
      </w:r>
      <w:r>
        <w:rPr>
          <w:rFonts w:eastAsia="黑体" w:cs="Calibri"/>
          <w:sz w:val="18"/>
          <w:szCs w:val="18"/>
        </w:rPr>
        <w:t>/”</w:t>
      </w:r>
      <w:r>
        <w:rPr>
          <w:rFonts w:eastAsia="黑体"/>
          <w:sz w:val="18"/>
          <w:szCs w:val="18"/>
        </w:rPr>
        <w:t>指前半周教学实习；“/</w:t>
      </w:r>
      <w:r>
        <w:rPr>
          <w:rFonts w:hint="eastAsia" w:ascii="宋体" w:hAnsi="宋体" w:cs="宋体"/>
          <w:sz w:val="18"/>
          <w:szCs w:val="18"/>
        </w:rPr>
        <w:t>⊙</w:t>
      </w:r>
      <w:r>
        <w:rPr>
          <w:rFonts w:eastAsia="黑体" w:cs="Calibri"/>
          <w:sz w:val="18"/>
          <w:szCs w:val="18"/>
        </w:rPr>
        <w:t>”</w:t>
      </w:r>
      <w:r>
        <w:rPr>
          <w:rFonts w:eastAsia="黑体"/>
          <w:sz w:val="18"/>
          <w:szCs w:val="18"/>
        </w:rPr>
        <w:t>指后半周教学实习。</w:t>
      </w:r>
    </w:p>
    <w:p>
      <w:pPr>
        <w:ind w:left="1650" w:leftChars="300" w:hanging="810" w:hangingChars="450"/>
        <w:rPr>
          <w:rFonts w:eastAsia="黑体"/>
          <w:kern w:val="28"/>
          <w:sz w:val="18"/>
          <w:szCs w:val="18"/>
        </w:rPr>
      </w:pPr>
      <w:r>
        <w:rPr>
          <w:rFonts w:eastAsia="黑体"/>
          <w:sz w:val="18"/>
          <w:szCs w:val="18"/>
        </w:rPr>
        <w:t>2、多学期开设的环节需要加下划线“</w:t>
      </w:r>
      <w:r>
        <w:rPr>
          <w:rFonts w:eastAsia="黑体"/>
          <w:sz w:val="18"/>
          <w:szCs w:val="18"/>
          <w:u w:val="single"/>
        </w:rPr>
        <w:t xml:space="preserve">    </w:t>
      </w:r>
      <w:r>
        <w:rPr>
          <w:rFonts w:eastAsia="黑体"/>
          <w:sz w:val="18"/>
          <w:szCs w:val="18"/>
        </w:rPr>
        <w:t>”标明。 如：“</w:t>
      </w:r>
      <w:r>
        <w:rPr>
          <w:rFonts w:hint="eastAsia" w:ascii="宋体" w:hAnsi="宋体" w:cs="宋体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</w:rPr>
        <w:t>”为多学期开设的教学实习，本学期1周；“</w:t>
      </w:r>
      <w:r>
        <w:rPr>
          <w:rFonts w:hint="eastAsia" w:ascii="宋体" w:hAnsi="宋体" w:cs="宋体"/>
          <w:sz w:val="18"/>
          <w:szCs w:val="18"/>
          <w:u w:val="single"/>
        </w:rPr>
        <w:t>⊙</w:t>
      </w:r>
      <w:r>
        <w:rPr>
          <w:rFonts w:eastAsia="黑体" w:cs="Calibri"/>
          <w:sz w:val="18"/>
          <w:szCs w:val="18"/>
          <w:u w:val="single"/>
        </w:rPr>
        <w:t>/2</w:t>
      </w:r>
      <w:r>
        <w:rPr>
          <w:rFonts w:eastAsia="黑体"/>
          <w:sz w:val="18"/>
          <w:szCs w:val="18"/>
        </w:rPr>
        <w:t>”为0.5周，安排在前半周；“/</w:t>
      </w:r>
      <w:r>
        <w:rPr>
          <w:rFonts w:hint="eastAsia" w:ascii="宋体" w:hAnsi="宋体" w:cs="宋体"/>
          <w:sz w:val="18"/>
          <w:szCs w:val="18"/>
          <w:u w:val="single"/>
        </w:rPr>
        <w:t>⊙</w:t>
      </w:r>
      <w:r>
        <w:rPr>
          <w:rFonts w:eastAsia="黑体" w:cs="Calibri"/>
          <w:sz w:val="18"/>
          <w:szCs w:val="18"/>
          <w:u w:val="single"/>
        </w:rPr>
        <w:t>/4</w:t>
      </w:r>
      <w:r>
        <w:rPr>
          <w:rFonts w:eastAsia="黑体"/>
          <w:sz w:val="18"/>
          <w:szCs w:val="18"/>
        </w:rPr>
        <w:t>”为0.25周，安排在后半周。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91"/>
    <w:rsid w:val="00004E85"/>
    <w:rsid w:val="00021BFB"/>
    <w:rsid w:val="00034B81"/>
    <w:rsid w:val="000366E9"/>
    <w:rsid w:val="00036978"/>
    <w:rsid w:val="00041976"/>
    <w:rsid w:val="00061EB2"/>
    <w:rsid w:val="000702E8"/>
    <w:rsid w:val="00072522"/>
    <w:rsid w:val="000756EF"/>
    <w:rsid w:val="00076D08"/>
    <w:rsid w:val="0009328E"/>
    <w:rsid w:val="000B0537"/>
    <w:rsid w:val="000C5BE1"/>
    <w:rsid w:val="000D5034"/>
    <w:rsid w:val="00102818"/>
    <w:rsid w:val="0010371D"/>
    <w:rsid w:val="0010575E"/>
    <w:rsid w:val="00126B16"/>
    <w:rsid w:val="00135F86"/>
    <w:rsid w:val="00150586"/>
    <w:rsid w:val="00156AB9"/>
    <w:rsid w:val="001607E5"/>
    <w:rsid w:val="00170939"/>
    <w:rsid w:val="00171F4C"/>
    <w:rsid w:val="00187C58"/>
    <w:rsid w:val="001A4022"/>
    <w:rsid w:val="001B3812"/>
    <w:rsid w:val="001B4BB6"/>
    <w:rsid w:val="001B55D0"/>
    <w:rsid w:val="001D4DF7"/>
    <w:rsid w:val="001D5F8A"/>
    <w:rsid w:val="001F1833"/>
    <w:rsid w:val="001F3135"/>
    <w:rsid w:val="001F328C"/>
    <w:rsid w:val="001F3544"/>
    <w:rsid w:val="00203D54"/>
    <w:rsid w:val="00203E7C"/>
    <w:rsid w:val="00211CE6"/>
    <w:rsid w:val="00213DF7"/>
    <w:rsid w:val="00214D6B"/>
    <w:rsid w:val="00217D3E"/>
    <w:rsid w:val="0022098C"/>
    <w:rsid w:val="00231A12"/>
    <w:rsid w:val="00243498"/>
    <w:rsid w:val="00246F4F"/>
    <w:rsid w:val="00247A13"/>
    <w:rsid w:val="00274EC6"/>
    <w:rsid w:val="002768B5"/>
    <w:rsid w:val="002837E6"/>
    <w:rsid w:val="0028444B"/>
    <w:rsid w:val="00294E77"/>
    <w:rsid w:val="00296479"/>
    <w:rsid w:val="002A5014"/>
    <w:rsid w:val="002A7186"/>
    <w:rsid w:val="002C1976"/>
    <w:rsid w:val="002D5D24"/>
    <w:rsid w:val="002E7457"/>
    <w:rsid w:val="003043D5"/>
    <w:rsid w:val="00307871"/>
    <w:rsid w:val="00311376"/>
    <w:rsid w:val="003150FB"/>
    <w:rsid w:val="003172F0"/>
    <w:rsid w:val="00322E44"/>
    <w:rsid w:val="00336D11"/>
    <w:rsid w:val="00350D97"/>
    <w:rsid w:val="00351ADF"/>
    <w:rsid w:val="00357572"/>
    <w:rsid w:val="00372F68"/>
    <w:rsid w:val="00377852"/>
    <w:rsid w:val="00382A43"/>
    <w:rsid w:val="0039477D"/>
    <w:rsid w:val="003A4C36"/>
    <w:rsid w:val="003A6B18"/>
    <w:rsid w:val="003B0B5C"/>
    <w:rsid w:val="003B243B"/>
    <w:rsid w:val="003D6AA8"/>
    <w:rsid w:val="003E2E73"/>
    <w:rsid w:val="003E5140"/>
    <w:rsid w:val="00401B31"/>
    <w:rsid w:val="00403648"/>
    <w:rsid w:val="00405D91"/>
    <w:rsid w:val="004117A5"/>
    <w:rsid w:val="00422C9E"/>
    <w:rsid w:val="00435C9E"/>
    <w:rsid w:val="00442A82"/>
    <w:rsid w:val="0044717A"/>
    <w:rsid w:val="00465EA1"/>
    <w:rsid w:val="00480FFF"/>
    <w:rsid w:val="004928DB"/>
    <w:rsid w:val="00496032"/>
    <w:rsid w:val="004A3057"/>
    <w:rsid w:val="004A5CA1"/>
    <w:rsid w:val="004A5E56"/>
    <w:rsid w:val="004A7A99"/>
    <w:rsid w:val="004B6C67"/>
    <w:rsid w:val="004B7740"/>
    <w:rsid w:val="004D664F"/>
    <w:rsid w:val="004E0FB6"/>
    <w:rsid w:val="00502B1F"/>
    <w:rsid w:val="00542531"/>
    <w:rsid w:val="00546AA4"/>
    <w:rsid w:val="0054774E"/>
    <w:rsid w:val="00554C2A"/>
    <w:rsid w:val="00573914"/>
    <w:rsid w:val="00593FB6"/>
    <w:rsid w:val="005976A5"/>
    <w:rsid w:val="005A0511"/>
    <w:rsid w:val="005A59C3"/>
    <w:rsid w:val="005B3805"/>
    <w:rsid w:val="005C1DE4"/>
    <w:rsid w:val="005C3D0C"/>
    <w:rsid w:val="005D4CD7"/>
    <w:rsid w:val="005D7BA8"/>
    <w:rsid w:val="005E6631"/>
    <w:rsid w:val="006034D2"/>
    <w:rsid w:val="00613C12"/>
    <w:rsid w:val="00636A5E"/>
    <w:rsid w:val="00660116"/>
    <w:rsid w:val="006646BF"/>
    <w:rsid w:val="00666FFD"/>
    <w:rsid w:val="006844C9"/>
    <w:rsid w:val="00684E79"/>
    <w:rsid w:val="006921EF"/>
    <w:rsid w:val="00696057"/>
    <w:rsid w:val="00696788"/>
    <w:rsid w:val="006A13A2"/>
    <w:rsid w:val="006B3C13"/>
    <w:rsid w:val="006B75EC"/>
    <w:rsid w:val="006C1B0C"/>
    <w:rsid w:val="006C780D"/>
    <w:rsid w:val="006D3155"/>
    <w:rsid w:val="006D369E"/>
    <w:rsid w:val="006D6237"/>
    <w:rsid w:val="006E00AC"/>
    <w:rsid w:val="00714648"/>
    <w:rsid w:val="00716382"/>
    <w:rsid w:val="00717D8E"/>
    <w:rsid w:val="007246C1"/>
    <w:rsid w:val="00726D97"/>
    <w:rsid w:val="00744105"/>
    <w:rsid w:val="00746ABE"/>
    <w:rsid w:val="00747C30"/>
    <w:rsid w:val="0076112B"/>
    <w:rsid w:val="007806C7"/>
    <w:rsid w:val="00781824"/>
    <w:rsid w:val="00792A2B"/>
    <w:rsid w:val="00794BD2"/>
    <w:rsid w:val="007978EE"/>
    <w:rsid w:val="007A205C"/>
    <w:rsid w:val="007A49AD"/>
    <w:rsid w:val="007B5DF6"/>
    <w:rsid w:val="007B600A"/>
    <w:rsid w:val="007B7D20"/>
    <w:rsid w:val="007C0D7A"/>
    <w:rsid w:val="007C164E"/>
    <w:rsid w:val="007D7A7C"/>
    <w:rsid w:val="007F4347"/>
    <w:rsid w:val="008034E7"/>
    <w:rsid w:val="0081199F"/>
    <w:rsid w:val="008141C7"/>
    <w:rsid w:val="008245DE"/>
    <w:rsid w:val="0082574E"/>
    <w:rsid w:val="008421D1"/>
    <w:rsid w:val="0084301A"/>
    <w:rsid w:val="00854B03"/>
    <w:rsid w:val="0085518F"/>
    <w:rsid w:val="008675AC"/>
    <w:rsid w:val="008730CF"/>
    <w:rsid w:val="00874BC7"/>
    <w:rsid w:val="00875935"/>
    <w:rsid w:val="008859F9"/>
    <w:rsid w:val="00895593"/>
    <w:rsid w:val="008A7979"/>
    <w:rsid w:val="008B161C"/>
    <w:rsid w:val="008B47A4"/>
    <w:rsid w:val="008B6D5B"/>
    <w:rsid w:val="008C0392"/>
    <w:rsid w:val="008E00A6"/>
    <w:rsid w:val="008E38D0"/>
    <w:rsid w:val="008E4199"/>
    <w:rsid w:val="008E5085"/>
    <w:rsid w:val="008F1468"/>
    <w:rsid w:val="009018F6"/>
    <w:rsid w:val="009133E2"/>
    <w:rsid w:val="009140BB"/>
    <w:rsid w:val="00915607"/>
    <w:rsid w:val="00917970"/>
    <w:rsid w:val="009203BE"/>
    <w:rsid w:val="00920A5E"/>
    <w:rsid w:val="00924E99"/>
    <w:rsid w:val="00925F52"/>
    <w:rsid w:val="0095455C"/>
    <w:rsid w:val="009713A7"/>
    <w:rsid w:val="00973816"/>
    <w:rsid w:val="0097764C"/>
    <w:rsid w:val="0099190F"/>
    <w:rsid w:val="009970D3"/>
    <w:rsid w:val="009A635C"/>
    <w:rsid w:val="009B4F8C"/>
    <w:rsid w:val="009B6EA6"/>
    <w:rsid w:val="009C6323"/>
    <w:rsid w:val="009F77BE"/>
    <w:rsid w:val="00A04792"/>
    <w:rsid w:val="00A06BB0"/>
    <w:rsid w:val="00A27075"/>
    <w:rsid w:val="00A30CDF"/>
    <w:rsid w:val="00A4209A"/>
    <w:rsid w:val="00A42452"/>
    <w:rsid w:val="00A4367C"/>
    <w:rsid w:val="00A52CF9"/>
    <w:rsid w:val="00A6484E"/>
    <w:rsid w:val="00A678B1"/>
    <w:rsid w:val="00A67BDF"/>
    <w:rsid w:val="00A72893"/>
    <w:rsid w:val="00A759F7"/>
    <w:rsid w:val="00A92F26"/>
    <w:rsid w:val="00AA05D3"/>
    <w:rsid w:val="00AA21EE"/>
    <w:rsid w:val="00AA5E72"/>
    <w:rsid w:val="00AB0F81"/>
    <w:rsid w:val="00AB3492"/>
    <w:rsid w:val="00AC1584"/>
    <w:rsid w:val="00AC45CC"/>
    <w:rsid w:val="00AD28E9"/>
    <w:rsid w:val="00AD47FC"/>
    <w:rsid w:val="00AE15BA"/>
    <w:rsid w:val="00AE5792"/>
    <w:rsid w:val="00AE6A68"/>
    <w:rsid w:val="00B015EF"/>
    <w:rsid w:val="00B06DFB"/>
    <w:rsid w:val="00B144A0"/>
    <w:rsid w:val="00B14CB2"/>
    <w:rsid w:val="00B179C2"/>
    <w:rsid w:val="00B233AF"/>
    <w:rsid w:val="00B24464"/>
    <w:rsid w:val="00B25F14"/>
    <w:rsid w:val="00B26916"/>
    <w:rsid w:val="00B43370"/>
    <w:rsid w:val="00B46698"/>
    <w:rsid w:val="00B51BB6"/>
    <w:rsid w:val="00B7750E"/>
    <w:rsid w:val="00B847D8"/>
    <w:rsid w:val="00B86BD3"/>
    <w:rsid w:val="00B917E7"/>
    <w:rsid w:val="00B9565B"/>
    <w:rsid w:val="00B97239"/>
    <w:rsid w:val="00BA415D"/>
    <w:rsid w:val="00BA6166"/>
    <w:rsid w:val="00BB0021"/>
    <w:rsid w:val="00BB57ED"/>
    <w:rsid w:val="00BC0288"/>
    <w:rsid w:val="00BC604F"/>
    <w:rsid w:val="00BE3B0D"/>
    <w:rsid w:val="00BE611D"/>
    <w:rsid w:val="00BF4EC5"/>
    <w:rsid w:val="00C12560"/>
    <w:rsid w:val="00C20F76"/>
    <w:rsid w:val="00C21EEC"/>
    <w:rsid w:val="00C24CCA"/>
    <w:rsid w:val="00C3426F"/>
    <w:rsid w:val="00C5380E"/>
    <w:rsid w:val="00C570D7"/>
    <w:rsid w:val="00C640F9"/>
    <w:rsid w:val="00C670D5"/>
    <w:rsid w:val="00C74AF4"/>
    <w:rsid w:val="00C85DB4"/>
    <w:rsid w:val="00C941F9"/>
    <w:rsid w:val="00CA4816"/>
    <w:rsid w:val="00CB36A6"/>
    <w:rsid w:val="00CB4A09"/>
    <w:rsid w:val="00CC2204"/>
    <w:rsid w:val="00CC40A6"/>
    <w:rsid w:val="00CC4FC5"/>
    <w:rsid w:val="00CD636F"/>
    <w:rsid w:val="00D078C2"/>
    <w:rsid w:val="00D26DED"/>
    <w:rsid w:val="00D300AE"/>
    <w:rsid w:val="00D32FB2"/>
    <w:rsid w:val="00D5607A"/>
    <w:rsid w:val="00D61599"/>
    <w:rsid w:val="00D62431"/>
    <w:rsid w:val="00D7717C"/>
    <w:rsid w:val="00D80EE2"/>
    <w:rsid w:val="00D87D11"/>
    <w:rsid w:val="00D87F9B"/>
    <w:rsid w:val="00D946D3"/>
    <w:rsid w:val="00D975FF"/>
    <w:rsid w:val="00DA1C5A"/>
    <w:rsid w:val="00DB0C6D"/>
    <w:rsid w:val="00DC0574"/>
    <w:rsid w:val="00DC102B"/>
    <w:rsid w:val="00DC2986"/>
    <w:rsid w:val="00DD55DA"/>
    <w:rsid w:val="00DE5FA4"/>
    <w:rsid w:val="00DF45F8"/>
    <w:rsid w:val="00E025D9"/>
    <w:rsid w:val="00E07304"/>
    <w:rsid w:val="00E10D23"/>
    <w:rsid w:val="00E10F4D"/>
    <w:rsid w:val="00E120E0"/>
    <w:rsid w:val="00E14229"/>
    <w:rsid w:val="00E30D1A"/>
    <w:rsid w:val="00E44D65"/>
    <w:rsid w:val="00E710EA"/>
    <w:rsid w:val="00E7490E"/>
    <w:rsid w:val="00E76B76"/>
    <w:rsid w:val="00EA54DA"/>
    <w:rsid w:val="00EB147F"/>
    <w:rsid w:val="00EC74F8"/>
    <w:rsid w:val="00ED47A1"/>
    <w:rsid w:val="00EF13A5"/>
    <w:rsid w:val="00EF315E"/>
    <w:rsid w:val="00F04A95"/>
    <w:rsid w:val="00F06BFF"/>
    <w:rsid w:val="00F15DEF"/>
    <w:rsid w:val="00F15FC3"/>
    <w:rsid w:val="00F23F37"/>
    <w:rsid w:val="00F32DB5"/>
    <w:rsid w:val="00F34F2B"/>
    <w:rsid w:val="00F43617"/>
    <w:rsid w:val="00F52D4B"/>
    <w:rsid w:val="00F54C3B"/>
    <w:rsid w:val="00F60104"/>
    <w:rsid w:val="00F61539"/>
    <w:rsid w:val="00F6700F"/>
    <w:rsid w:val="00F7445C"/>
    <w:rsid w:val="00F8327F"/>
    <w:rsid w:val="00F908F7"/>
    <w:rsid w:val="00F9677A"/>
    <w:rsid w:val="00FA28B0"/>
    <w:rsid w:val="00FB0487"/>
    <w:rsid w:val="00FC48E4"/>
    <w:rsid w:val="00FC54C3"/>
    <w:rsid w:val="00FD103D"/>
    <w:rsid w:val="00FD267E"/>
    <w:rsid w:val="00FD3CA6"/>
    <w:rsid w:val="00FD536B"/>
    <w:rsid w:val="00FD5A9D"/>
    <w:rsid w:val="00FE4626"/>
    <w:rsid w:val="01356152"/>
    <w:rsid w:val="0BEE7318"/>
    <w:rsid w:val="0D3C48D5"/>
    <w:rsid w:val="0F2D533B"/>
    <w:rsid w:val="12C71F7C"/>
    <w:rsid w:val="130E5334"/>
    <w:rsid w:val="13646268"/>
    <w:rsid w:val="13EA1F2A"/>
    <w:rsid w:val="1BDC6F04"/>
    <w:rsid w:val="1E9B54E0"/>
    <w:rsid w:val="260A397E"/>
    <w:rsid w:val="2688782D"/>
    <w:rsid w:val="29652A4C"/>
    <w:rsid w:val="2B951F93"/>
    <w:rsid w:val="2FC95761"/>
    <w:rsid w:val="30333CEF"/>
    <w:rsid w:val="38B7662B"/>
    <w:rsid w:val="390D27BC"/>
    <w:rsid w:val="3C9B1AB5"/>
    <w:rsid w:val="3E3141CF"/>
    <w:rsid w:val="3F0C3350"/>
    <w:rsid w:val="44880296"/>
    <w:rsid w:val="45E45877"/>
    <w:rsid w:val="499B09A2"/>
    <w:rsid w:val="4E940D31"/>
    <w:rsid w:val="51CA4E60"/>
    <w:rsid w:val="55C34AFD"/>
    <w:rsid w:val="568A5BCE"/>
    <w:rsid w:val="577000BC"/>
    <w:rsid w:val="5F7110A1"/>
    <w:rsid w:val="645E0F9A"/>
    <w:rsid w:val="64EC700A"/>
    <w:rsid w:val="680C52B7"/>
    <w:rsid w:val="69AF7C5B"/>
    <w:rsid w:val="6CC836EB"/>
    <w:rsid w:val="6F5E0EDB"/>
    <w:rsid w:val="72414824"/>
    <w:rsid w:val="7B0B5DE5"/>
    <w:rsid w:val="7E303225"/>
    <w:rsid w:val="7EE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ind w:firstLine="420"/>
    </w:pPr>
    <w:rPr>
      <w:rFonts w:ascii="Times New Roman" w:hAnsi="Times New Roman"/>
      <w:sz w:val="21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 w:val="21"/>
      <w:szCs w:val="24"/>
    </w:rPr>
  </w:style>
  <w:style w:type="character" w:customStyle="1" w:styleId="10">
    <w:name w:val="页眉 Char"/>
    <w:basedOn w:val="7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缩进 2 Char"/>
    <w:basedOn w:val="7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apple-converted-space"/>
    <w:basedOn w:val="7"/>
    <w:qFormat/>
    <w:uiPriority w:val="0"/>
  </w:style>
  <w:style w:type="paragraph" w:customStyle="1" w:styleId="14">
    <w:name w:val="_Style 7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表前正文1"/>
    <w:basedOn w:val="1"/>
    <w:qFormat/>
    <w:uiPriority w:val="0"/>
    <w:pPr>
      <w:spacing w:line="440" w:lineRule="exact"/>
      <w:ind w:firstLine="640" w:firstLineChars="200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1297</Words>
  <Characters>7395</Characters>
  <Lines>61</Lines>
  <Paragraphs>17</Paragraphs>
  <TotalTime>71</TotalTime>
  <ScaleCrop>false</ScaleCrop>
  <LinksUpToDate>false</LinksUpToDate>
  <CharactersWithSpaces>8675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2017-03-29T03:03:00Z</dcterms:created>
  <dc:creator>pokjf</dc:creator>
  <cp:lastModifiedBy>hm</cp:lastModifiedBy>
  <cp:lastPrinted>2017-06-02T03:11:00Z</cp:lastPrinted>
  <dcterms:modified xsi:type="dcterms:W3CDTF">2020-03-18T06:41:23Z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2052-11.1.0.9513</vt:lpwstr>
  </property>
</Properties>
</file>